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95C26" w14:textId="3EDB358D" w:rsidR="005077FC" w:rsidRPr="009C3717" w:rsidRDefault="0097198D" w:rsidP="0067032B">
      <w:pPr>
        <w:ind w:right="-426"/>
        <w:rPr>
          <w:b/>
          <w:sz w:val="28"/>
          <w:szCs w:val="28"/>
        </w:rPr>
      </w:pPr>
      <w:r w:rsidRPr="009C3717">
        <w:rPr>
          <w:b/>
          <w:sz w:val="28"/>
          <w:szCs w:val="28"/>
        </w:rPr>
        <w:t>Communiqué de presse</w:t>
      </w:r>
      <w:r w:rsidRPr="009C3717">
        <w:rPr>
          <w:b/>
          <w:sz w:val="28"/>
          <w:szCs w:val="28"/>
        </w:rPr>
        <w:br/>
        <w:t>de la Chambre Suisse des experts en caisses de pensions (CSEP)</w:t>
      </w:r>
    </w:p>
    <w:p w14:paraId="7AA23EE8" w14:textId="77777777" w:rsidR="009C3717" w:rsidRPr="009C3717" w:rsidRDefault="009C3717" w:rsidP="00CC579D">
      <w:pPr>
        <w:spacing w:after="0"/>
        <w:rPr>
          <w:rFonts w:cs="Arial"/>
          <w:b/>
        </w:rPr>
      </w:pPr>
    </w:p>
    <w:p w14:paraId="38057E8A" w14:textId="77777777" w:rsidR="0067032B" w:rsidRPr="009C3717" w:rsidRDefault="0067032B" w:rsidP="00CC579D">
      <w:pPr>
        <w:rPr>
          <w:rFonts w:cs="Arial"/>
          <w:b/>
          <w:u w:val="single"/>
        </w:rPr>
      </w:pPr>
      <w:r w:rsidRPr="009C3717">
        <w:rPr>
          <w:b/>
          <w:u w:val="single"/>
        </w:rPr>
        <w:t>Destiné à une publication immédiate</w:t>
      </w:r>
    </w:p>
    <w:p w14:paraId="45D448A7" w14:textId="77777777" w:rsidR="0067032B" w:rsidRPr="009C3717" w:rsidRDefault="0067032B" w:rsidP="00CC579D">
      <w:pPr>
        <w:spacing w:after="120"/>
        <w:rPr>
          <w:rFonts w:cs="Arial"/>
          <w:b/>
        </w:rPr>
      </w:pPr>
    </w:p>
    <w:p w14:paraId="7BF4044F" w14:textId="09829F57" w:rsidR="0067032B" w:rsidRPr="00CC579D" w:rsidRDefault="0067032B" w:rsidP="00CC579D">
      <w:pPr>
        <w:spacing w:after="0"/>
        <w:rPr>
          <w:rFonts w:cs="Arial"/>
          <w:b/>
          <w:sz w:val="24"/>
          <w:szCs w:val="24"/>
        </w:rPr>
      </w:pPr>
      <w:r w:rsidRPr="00CC579D">
        <w:rPr>
          <w:b/>
          <w:sz w:val="24"/>
          <w:szCs w:val="24"/>
        </w:rPr>
        <w:t xml:space="preserve">La Chambre Suisse des experts en caisses de pensions (CSEP) a déterminé la </w:t>
      </w:r>
      <w:r w:rsidR="00BB516E" w:rsidRPr="00CC579D">
        <w:rPr>
          <w:b/>
          <w:sz w:val="24"/>
          <w:szCs w:val="24"/>
        </w:rPr>
        <w:t xml:space="preserve">borne </w:t>
      </w:r>
      <w:r w:rsidRPr="00CC579D">
        <w:rPr>
          <w:b/>
          <w:sz w:val="24"/>
          <w:szCs w:val="24"/>
        </w:rPr>
        <w:t xml:space="preserve">supérieure </w:t>
      </w:r>
      <w:r w:rsidR="00B3607D" w:rsidRPr="00CC579D">
        <w:rPr>
          <w:b/>
          <w:sz w:val="24"/>
          <w:szCs w:val="24"/>
        </w:rPr>
        <w:t>au 30 septembre 20</w:t>
      </w:r>
      <w:r w:rsidR="001152E9">
        <w:rPr>
          <w:b/>
          <w:sz w:val="24"/>
          <w:szCs w:val="24"/>
        </w:rPr>
        <w:t>2</w:t>
      </w:r>
      <w:r w:rsidR="00597216">
        <w:rPr>
          <w:b/>
          <w:sz w:val="24"/>
          <w:szCs w:val="24"/>
        </w:rPr>
        <w:t>2</w:t>
      </w:r>
      <w:r w:rsidR="00B3607D" w:rsidRPr="00CC579D">
        <w:rPr>
          <w:b/>
          <w:sz w:val="24"/>
          <w:szCs w:val="24"/>
        </w:rPr>
        <w:t xml:space="preserve"> </w:t>
      </w:r>
      <w:r w:rsidRPr="00CC579D">
        <w:rPr>
          <w:b/>
          <w:sz w:val="24"/>
          <w:szCs w:val="24"/>
        </w:rPr>
        <w:t xml:space="preserve">pour </w:t>
      </w:r>
      <w:r w:rsidR="00BB27E0" w:rsidRPr="00CC579D">
        <w:rPr>
          <w:b/>
          <w:sz w:val="24"/>
          <w:szCs w:val="24"/>
        </w:rPr>
        <w:t xml:space="preserve">la recommandation du </w:t>
      </w:r>
      <w:r w:rsidRPr="00CC579D">
        <w:rPr>
          <w:b/>
          <w:sz w:val="24"/>
          <w:szCs w:val="24"/>
        </w:rPr>
        <w:t>taux d’intérêt technique selon la Directive technique 4</w:t>
      </w:r>
      <w:r w:rsidR="00310212" w:rsidRPr="00CC579D">
        <w:rPr>
          <w:b/>
          <w:sz w:val="24"/>
          <w:szCs w:val="24"/>
        </w:rPr>
        <w:t>.</w:t>
      </w:r>
    </w:p>
    <w:p w14:paraId="2C0362B0" w14:textId="77777777" w:rsidR="00B30E61" w:rsidRPr="00CC579D" w:rsidRDefault="00B30E61" w:rsidP="00CC579D">
      <w:pPr>
        <w:tabs>
          <w:tab w:val="left" w:pos="-1440"/>
          <w:tab w:val="left" w:pos="-720"/>
        </w:tabs>
        <w:suppressAutoHyphens/>
        <w:spacing w:after="0"/>
        <w:rPr>
          <w:rFonts w:cs="Arial"/>
          <w:b/>
          <w:sz w:val="24"/>
          <w:szCs w:val="24"/>
        </w:rPr>
      </w:pPr>
    </w:p>
    <w:p w14:paraId="7494E38F" w14:textId="1D4A06E3" w:rsidR="003F62EA" w:rsidRPr="00CC579D" w:rsidRDefault="00FE48B2" w:rsidP="00CC579D">
      <w:pPr>
        <w:tabs>
          <w:tab w:val="left" w:pos="-1440"/>
          <w:tab w:val="left" w:pos="-720"/>
        </w:tabs>
        <w:suppressAutoHyphens/>
        <w:spacing w:after="120" w:line="240" w:lineRule="auto"/>
        <w:jc w:val="both"/>
        <w:rPr>
          <w:rFonts w:cs="Arial"/>
          <w:b/>
          <w:sz w:val="24"/>
          <w:szCs w:val="24"/>
        </w:rPr>
      </w:pPr>
      <w:r w:rsidRPr="00CC579D">
        <w:rPr>
          <w:b/>
          <w:sz w:val="24"/>
          <w:szCs w:val="24"/>
        </w:rPr>
        <w:t>Taux d’intérêt technique d’une institution de prévoyance</w:t>
      </w:r>
    </w:p>
    <w:p w14:paraId="0BA543B9" w14:textId="4EF9F9C4" w:rsidR="009C3717" w:rsidRDefault="00961B24" w:rsidP="00CC579D">
      <w:pPr>
        <w:tabs>
          <w:tab w:val="left" w:pos="-1440"/>
          <w:tab w:val="left" w:pos="-720"/>
        </w:tabs>
        <w:suppressAutoHyphens/>
        <w:spacing w:after="0"/>
        <w:jc w:val="both"/>
      </w:pPr>
      <w:r w:rsidRPr="00CC579D">
        <w:t xml:space="preserve">L’organe suprême d’une institution de prévoyance fixe pour l’évaluation des </w:t>
      </w:r>
      <w:r w:rsidR="00B3607D" w:rsidRPr="00CC579D">
        <w:t>engagements de prévoyance</w:t>
      </w:r>
      <w:r w:rsidRPr="00CC579D">
        <w:t xml:space="preserve"> (rentes en cours et </w:t>
      </w:r>
      <w:r w:rsidR="00B3607D" w:rsidRPr="00CC579D">
        <w:t>provisions</w:t>
      </w:r>
      <w:r w:rsidR="00BB27E0" w:rsidRPr="00CC579D">
        <w:t xml:space="preserve"> techniques</w:t>
      </w:r>
      <w:r w:rsidRPr="00CC579D">
        <w:t xml:space="preserve"> le cas échéant) un taux d’intérêt technique. Ce faisant, </w:t>
      </w:r>
      <w:r w:rsidR="0082631B">
        <w:t>il</w:t>
      </w:r>
      <w:r w:rsidRPr="00CC579D">
        <w:t xml:space="preserve"> tient compte de la recommandation de l’expert en prévoyance professionnelle.</w:t>
      </w:r>
    </w:p>
    <w:p w14:paraId="164E0B38" w14:textId="6C4F31AC" w:rsidR="00961B24" w:rsidRPr="00CC579D" w:rsidRDefault="00961B24" w:rsidP="00CC579D">
      <w:pPr>
        <w:tabs>
          <w:tab w:val="left" w:pos="-1440"/>
          <w:tab w:val="left" w:pos="-720"/>
        </w:tabs>
        <w:suppressAutoHyphens/>
        <w:jc w:val="both"/>
        <w:rPr>
          <w:rFonts w:cs="Arial"/>
        </w:rPr>
      </w:pPr>
      <w:r w:rsidRPr="00597216">
        <w:rPr>
          <w:b/>
          <w:bCs/>
          <w:i/>
          <w:iCs/>
        </w:rPr>
        <w:t xml:space="preserve">Selon la Directive technique 4, le taux d’intérêt technique </w:t>
      </w:r>
      <w:r w:rsidR="00BB27E0" w:rsidRPr="00597216">
        <w:rPr>
          <w:b/>
          <w:bCs/>
          <w:i/>
          <w:iCs/>
        </w:rPr>
        <w:t xml:space="preserve">doit en règle générale </w:t>
      </w:r>
      <w:r w:rsidRPr="00597216">
        <w:rPr>
          <w:b/>
          <w:bCs/>
          <w:i/>
          <w:iCs/>
        </w:rPr>
        <w:t xml:space="preserve">se situer avec une marge appropriée en dessous du rendement net </w:t>
      </w:r>
      <w:r w:rsidR="00BB27E0" w:rsidRPr="00597216">
        <w:rPr>
          <w:b/>
          <w:bCs/>
          <w:i/>
          <w:iCs/>
        </w:rPr>
        <w:t xml:space="preserve">attendu que </w:t>
      </w:r>
      <w:r w:rsidRPr="00597216">
        <w:rPr>
          <w:b/>
          <w:bCs/>
          <w:i/>
          <w:iCs/>
        </w:rPr>
        <w:t>l’institution de prévoyance</w:t>
      </w:r>
      <w:r w:rsidRPr="009C3717">
        <w:t xml:space="preserve"> </w:t>
      </w:r>
      <w:r w:rsidR="00BB27E0">
        <w:t>peut escompter</w:t>
      </w:r>
      <w:r w:rsidRPr="009C3717">
        <w:t xml:space="preserve"> sur la base de la </w:t>
      </w:r>
      <w:r w:rsidR="00BB27E0">
        <w:t>stratégie</w:t>
      </w:r>
      <w:r w:rsidR="00BB27E0" w:rsidRPr="009C3717">
        <w:t xml:space="preserve"> </w:t>
      </w:r>
      <w:r w:rsidRPr="009C3717">
        <w:t xml:space="preserve">de placement. Dans sa recommandation sur le taux d’intérêt </w:t>
      </w:r>
      <w:r w:rsidRPr="00CC579D">
        <w:t xml:space="preserve">technique, l’expert </w:t>
      </w:r>
      <w:r w:rsidR="00BB27E0" w:rsidRPr="00CC579D">
        <w:t>tient compte de</w:t>
      </w:r>
      <w:r w:rsidRPr="00CC579D">
        <w:t xml:space="preserve"> la structure et </w:t>
      </w:r>
      <w:r w:rsidR="00BB27E0" w:rsidRPr="00CC579D">
        <w:t xml:space="preserve">des </w:t>
      </w:r>
      <w:r w:rsidRPr="00CC579D">
        <w:t>caractéristiques de l’institution de prévoyance</w:t>
      </w:r>
      <w:r w:rsidR="00BB27E0" w:rsidRPr="00CC579D">
        <w:t xml:space="preserve"> ainsi que de leurs modifications possibles</w:t>
      </w:r>
      <w:r w:rsidRPr="00CC579D">
        <w:t>.</w:t>
      </w:r>
    </w:p>
    <w:p w14:paraId="65090D8E" w14:textId="56664DD2" w:rsidR="00934A7D" w:rsidRPr="00CC579D" w:rsidRDefault="00D10F6A" w:rsidP="00CC579D">
      <w:pPr>
        <w:jc w:val="both"/>
        <w:rPr>
          <w:rFonts w:cs="Arial"/>
        </w:rPr>
      </w:pPr>
      <w:r w:rsidRPr="00CC579D">
        <w:t>Dans la Directive technique 4</w:t>
      </w:r>
      <w:r w:rsidR="0014130E">
        <w:t>,</w:t>
      </w:r>
      <w:r w:rsidRPr="00CC579D">
        <w:t xml:space="preserve"> une </w:t>
      </w:r>
      <w:r w:rsidR="00F521A1" w:rsidRPr="00CC579D">
        <w:t xml:space="preserve">borne </w:t>
      </w:r>
      <w:r w:rsidRPr="00CC579D">
        <w:t>supérieure pour le taux d’intérêt technique</w:t>
      </w:r>
      <w:r w:rsidR="00FF4463">
        <w:t xml:space="preserve"> est définie</w:t>
      </w:r>
      <w:r w:rsidRPr="00CC579D">
        <w:t xml:space="preserve">. </w:t>
      </w:r>
      <w:r w:rsidR="00BB27E0" w:rsidRPr="00CC579D">
        <w:t>Une recommandation allant au-delà de la borne supérieure doit être motivée objectivement par l’expert. Elle devrait rester exceptionnelle.</w:t>
      </w:r>
    </w:p>
    <w:p w14:paraId="25CA990B" w14:textId="3BF6E890" w:rsidR="003F62EA" w:rsidRPr="00CC579D" w:rsidRDefault="00FE48B2" w:rsidP="00CC579D">
      <w:pPr>
        <w:tabs>
          <w:tab w:val="left" w:pos="-1440"/>
          <w:tab w:val="left" w:pos="-720"/>
        </w:tabs>
        <w:suppressAutoHyphens/>
        <w:spacing w:after="120" w:line="240" w:lineRule="auto"/>
        <w:jc w:val="both"/>
        <w:rPr>
          <w:rFonts w:cs="Arial"/>
          <w:b/>
          <w:sz w:val="24"/>
          <w:szCs w:val="24"/>
        </w:rPr>
      </w:pPr>
      <w:r w:rsidRPr="00CC579D">
        <w:rPr>
          <w:b/>
          <w:sz w:val="24"/>
          <w:szCs w:val="24"/>
        </w:rPr>
        <w:t xml:space="preserve">Calcul de la </w:t>
      </w:r>
      <w:r w:rsidR="00BB516E" w:rsidRPr="00CC579D">
        <w:rPr>
          <w:b/>
          <w:sz w:val="24"/>
          <w:szCs w:val="24"/>
        </w:rPr>
        <w:t xml:space="preserve">borne </w:t>
      </w:r>
      <w:r w:rsidRPr="00CC579D">
        <w:rPr>
          <w:b/>
          <w:sz w:val="24"/>
          <w:szCs w:val="24"/>
        </w:rPr>
        <w:t>sup</w:t>
      </w:r>
      <w:r w:rsidR="002772FD" w:rsidRPr="00CC579D">
        <w:rPr>
          <w:b/>
          <w:sz w:val="24"/>
          <w:szCs w:val="24"/>
        </w:rPr>
        <w:t>érieur</w:t>
      </w:r>
      <w:r w:rsidR="00BB516E" w:rsidRPr="00CC579D">
        <w:rPr>
          <w:b/>
          <w:sz w:val="24"/>
          <w:szCs w:val="24"/>
        </w:rPr>
        <w:t>e</w:t>
      </w:r>
      <w:r w:rsidR="002772FD" w:rsidRPr="00CC579D">
        <w:rPr>
          <w:b/>
          <w:sz w:val="24"/>
          <w:szCs w:val="24"/>
        </w:rPr>
        <w:t xml:space="preserve"> selon l’article </w:t>
      </w:r>
      <w:r w:rsidR="00BB27E0" w:rsidRPr="00CC579D">
        <w:rPr>
          <w:b/>
          <w:sz w:val="24"/>
          <w:szCs w:val="24"/>
        </w:rPr>
        <w:t xml:space="preserve">3 de </w:t>
      </w:r>
      <w:r w:rsidR="002772FD" w:rsidRPr="00CC579D">
        <w:rPr>
          <w:b/>
          <w:sz w:val="24"/>
          <w:szCs w:val="24"/>
        </w:rPr>
        <w:t>la DTA 4</w:t>
      </w:r>
    </w:p>
    <w:p w14:paraId="4F1D4B00" w14:textId="359E2CEB" w:rsidR="00961B24" w:rsidRPr="009C3717" w:rsidRDefault="00BB516E" w:rsidP="00CC579D">
      <w:pPr>
        <w:tabs>
          <w:tab w:val="left" w:pos="-1440"/>
          <w:tab w:val="left" w:pos="-720"/>
        </w:tabs>
        <w:suppressAutoHyphens/>
        <w:spacing w:after="120" w:line="240" w:lineRule="auto"/>
        <w:jc w:val="both"/>
        <w:rPr>
          <w:rFonts w:cs="Arial"/>
        </w:rPr>
      </w:pPr>
      <w:r w:rsidRPr="00CC579D">
        <w:t xml:space="preserve">La borne </w:t>
      </w:r>
      <w:r w:rsidR="00B06D78" w:rsidRPr="00CC579D">
        <w:t xml:space="preserve">supérieure </w:t>
      </w:r>
      <w:r w:rsidRPr="00CC579D">
        <w:t>correspond au</w:t>
      </w:r>
      <w:r w:rsidR="00B06D78" w:rsidRPr="00CC579D">
        <w:t xml:space="preserve"> taux d’intérêt au comptant moyen des obligations de la Confédération </w:t>
      </w:r>
      <w:r w:rsidRPr="00CC579D">
        <w:t xml:space="preserve">à 10 ans </w:t>
      </w:r>
      <w:r w:rsidR="00B06D78" w:rsidRPr="00CC579D">
        <w:t>en CHF des 12 </w:t>
      </w:r>
      <w:r w:rsidRPr="00CC579D">
        <w:t>derniers mois</w:t>
      </w:r>
      <w:r w:rsidR="00B06D78" w:rsidRPr="00CC579D">
        <w:t>, majoré d’un supplément de 2</w:t>
      </w:r>
      <w:r w:rsidR="00960497">
        <w:t>.</w:t>
      </w:r>
      <w:r w:rsidR="00B06D78" w:rsidRPr="00CC579D">
        <w:t>5%</w:t>
      </w:r>
      <w:r w:rsidR="004578CD">
        <w:t xml:space="preserve">, le cas échéant </w:t>
      </w:r>
      <w:r w:rsidR="00B06D78" w:rsidRPr="00CC579D">
        <w:t xml:space="preserve">diminué d’une </w:t>
      </w:r>
      <w:proofErr w:type="gramStart"/>
      <w:r w:rsidRPr="00CC579D">
        <w:t>déduction</w:t>
      </w:r>
      <w:proofErr w:type="gramEnd"/>
      <w:r w:rsidRPr="00CC579D">
        <w:t xml:space="preserve"> </w:t>
      </w:r>
      <w:r w:rsidR="00B06D78" w:rsidRPr="00CC579D">
        <w:t>pour l’augmentation de la longévité</w:t>
      </w:r>
      <w:r w:rsidRPr="00CC579D">
        <w:t xml:space="preserve"> </w:t>
      </w:r>
      <w:r w:rsidR="004578CD">
        <w:t xml:space="preserve">en cas d’utilisation de tables périodiques </w:t>
      </w:r>
      <w:r w:rsidRPr="00CC579D">
        <w:t>(au moins 0</w:t>
      </w:r>
      <w:r w:rsidR="00960497">
        <w:t>.</w:t>
      </w:r>
      <w:r w:rsidRPr="00CC579D">
        <w:t>3 point de pourcentage)</w:t>
      </w:r>
      <w:r w:rsidR="00B06D78" w:rsidRPr="00CC579D">
        <w:t xml:space="preserve">. La </w:t>
      </w:r>
      <w:r w:rsidR="001152E9">
        <w:t xml:space="preserve">nouvelle </w:t>
      </w:r>
      <w:r w:rsidRPr="00CC579D">
        <w:t xml:space="preserve">borne </w:t>
      </w:r>
      <w:r w:rsidR="00B06D78" w:rsidRPr="00CC579D">
        <w:t xml:space="preserve">supérieure vaut </w:t>
      </w:r>
      <w:r w:rsidR="00BB27E0" w:rsidRPr="00CC579D">
        <w:t xml:space="preserve">à partir du 1 </w:t>
      </w:r>
      <w:r w:rsidR="001152E9">
        <w:t>octobre</w:t>
      </w:r>
      <w:r w:rsidR="00B06D78" w:rsidRPr="00CC579D">
        <w:t xml:space="preserve"> 20</w:t>
      </w:r>
      <w:r w:rsidR="001152E9">
        <w:t>2</w:t>
      </w:r>
      <w:r w:rsidR="00597216">
        <w:t>2</w:t>
      </w:r>
      <w:r w:rsidR="00B06D78" w:rsidRPr="009C3717">
        <w:t xml:space="preserve">. </w:t>
      </w:r>
    </w:p>
    <w:p w14:paraId="201A3A0C" w14:textId="3A3D1B7E" w:rsidR="00B06D78" w:rsidRPr="009C3717" w:rsidRDefault="00BB516E" w:rsidP="00CC579D">
      <w:pPr>
        <w:tabs>
          <w:tab w:val="left" w:pos="-1440"/>
          <w:tab w:val="left" w:pos="-720"/>
        </w:tabs>
        <w:suppressAutoHyphens/>
        <w:rPr>
          <w:rFonts w:cs="Arial"/>
          <w:b/>
          <w:sz w:val="24"/>
          <w:szCs w:val="24"/>
        </w:rPr>
      </w:pPr>
      <w:r>
        <w:rPr>
          <w:b/>
          <w:sz w:val="24"/>
          <w:szCs w:val="24"/>
        </w:rPr>
        <w:t xml:space="preserve">Borne </w:t>
      </w:r>
      <w:r w:rsidR="00B06D78" w:rsidRPr="009C3717">
        <w:rPr>
          <w:b/>
          <w:sz w:val="24"/>
          <w:szCs w:val="24"/>
        </w:rPr>
        <w:t>supérieure au 30.09.20</w:t>
      </w:r>
      <w:r w:rsidR="001152E9">
        <w:rPr>
          <w:b/>
          <w:sz w:val="24"/>
          <w:szCs w:val="24"/>
        </w:rPr>
        <w:t>2</w:t>
      </w:r>
      <w:r w:rsidR="00597216">
        <w:rPr>
          <w:b/>
          <w:sz w:val="24"/>
          <w:szCs w:val="24"/>
        </w:rPr>
        <w:t>2</w:t>
      </w:r>
    </w:p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4"/>
        <w:gridCol w:w="1581"/>
        <w:gridCol w:w="1264"/>
        <w:gridCol w:w="1633"/>
        <w:gridCol w:w="1488"/>
        <w:gridCol w:w="1559"/>
      </w:tblGrid>
      <w:tr w:rsidR="00F77A22" w:rsidRPr="00ED73A7" w14:paraId="6533B8F7" w14:textId="77777777" w:rsidTr="00F77A22">
        <w:trPr>
          <w:trHeight w:val="1163"/>
        </w:trPr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396C11" w14:textId="77777777" w:rsidR="00ED73A7" w:rsidRPr="00ED73A7" w:rsidRDefault="00ED73A7" w:rsidP="00ED7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CH" w:eastAsia="de-CH"/>
              </w:rPr>
            </w:pPr>
            <w:r w:rsidRPr="00ED73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CH" w:eastAsia="de-CH"/>
              </w:rPr>
              <w:t xml:space="preserve">Date de </w:t>
            </w:r>
            <w:proofErr w:type="spellStart"/>
            <w:r w:rsidRPr="00ED73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CH" w:eastAsia="de-CH"/>
              </w:rPr>
              <w:t>référence</w:t>
            </w:r>
            <w:proofErr w:type="spellEnd"/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F3BEA3" w14:textId="77777777" w:rsidR="00ED73A7" w:rsidRPr="00ED73A7" w:rsidRDefault="00ED73A7" w:rsidP="00ED7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de-CH"/>
              </w:rPr>
            </w:pPr>
            <w:r w:rsidRPr="00ED73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de-CH"/>
              </w:rPr>
              <w:t>Taux d’intérêt au comptant moyen des 12 derniers mois en %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E553B9" w14:textId="77777777" w:rsidR="00ED73A7" w:rsidRPr="00ED73A7" w:rsidRDefault="00ED73A7" w:rsidP="00ED7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de-CH"/>
              </w:rPr>
            </w:pPr>
            <w:r w:rsidRPr="00ED73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de-CH"/>
              </w:rPr>
              <w:t>Supplément selon la DTA 4 en %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C9B83F" w14:textId="77777777" w:rsidR="00ED73A7" w:rsidRPr="00ED73A7" w:rsidRDefault="00ED73A7" w:rsidP="00ED7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de-CH"/>
              </w:rPr>
            </w:pPr>
            <w:r w:rsidRPr="00ED73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de-CH"/>
              </w:rPr>
              <w:t>Déduction pour longévité en cas d’utilisation de tables périodiques en %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bottom"/>
            <w:hideMark/>
          </w:tcPr>
          <w:p w14:paraId="66AE3322" w14:textId="77777777" w:rsidR="00ED73A7" w:rsidRPr="00ED73A7" w:rsidRDefault="00ED73A7" w:rsidP="00ED7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de-CH"/>
              </w:rPr>
            </w:pPr>
            <w:r w:rsidRPr="00ED73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de-CH"/>
              </w:rPr>
              <w:t>Borne supérieure selon la DTA 4 en cas d’utilisation de tables périodiques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vAlign w:val="bottom"/>
            <w:hideMark/>
          </w:tcPr>
          <w:p w14:paraId="43EC8EEB" w14:textId="77777777" w:rsidR="00ED73A7" w:rsidRPr="00ED73A7" w:rsidRDefault="00ED73A7" w:rsidP="00ED7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de-CH"/>
              </w:rPr>
            </w:pPr>
            <w:r w:rsidRPr="00ED73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CH" w:eastAsia="de-CH"/>
              </w:rPr>
              <w:t>Borne supérieure selon la DTA 4 en cas d’utilisation de tables générationnelles</w:t>
            </w:r>
          </w:p>
        </w:tc>
      </w:tr>
      <w:tr w:rsidR="00ED73A7" w:rsidRPr="00ED73A7" w14:paraId="3D151787" w14:textId="77777777" w:rsidTr="00F77A22">
        <w:trPr>
          <w:trHeight w:val="458"/>
        </w:trPr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4406" w14:textId="77777777" w:rsidR="00ED73A7" w:rsidRPr="00ED73A7" w:rsidRDefault="00ED73A7" w:rsidP="00ED7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CH" w:eastAsia="de-CH"/>
              </w:rPr>
            </w:pPr>
            <w:r w:rsidRPr="00ED73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CH" w:eastAsia="de-CH"/>
              </w:rPr>
              <w:t>30.09.2022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8BEC" w14:textId="77777777" w:rsidR="00ED73A7" w:rsidRPr="00ED73A7" w:rsidRDefault="00ED73A7" w:rsidP="00ED7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CH" w:eastAsia="de-CH"/>
              </w:rPr>
            </w:pPr>
            <w:r w:rsidRPr="00ED73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CH" w:eastAsia="de-CH"/>
              </w:rPr>
              <w:t>0.483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9AC62" w14:textId="77777777" w:rsidR="00ED73A7" w:rsidRPr="00ED73A7" w:rsidRDefault="00ED73A7" w:rsidP="00ED7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CH" w:eastAsia="de-CH"/>
              </w:rPr>
            </w:pPr>
            <w:r w:rsidRPr="00ED73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CH" w:eastAsia="de-CH"/>
              </w:rPr>
              <w:t>2.50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708AA" w14:textId="77777777" w:rsidR="00ED73A7" w:rsidRPr="00ED73A7" w:rsidRDefault="00ED73A7" w:rsidP="00ED7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CH" w:eastAsia="de-CH"/>
              </w:rPr>
            </w:pPr>
            <w:r w:rsidRPr="00ED73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CH" w:eastAsia="de-CH"/>
              </w:rPr>
              <w:t>-0.30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0F42C2A" w14:textId="77777777" w:rsidR="00ED73A7" w:rsidRPr="00ED73A7" w:rsidRDefault="00ED73A7" w:rsidP="00ED7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CH" w:eastAsia="de-CH"/>
              </w:rPr>
            </w:pPr>
            <w:r w:rsidRPr="00ED73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CH" w:eastAsia="de-CH"/>
              </w:rPr>
              <w:t>2.68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24F08E5" w14:textId="77777777" w:rsidR="00ED73A7" w:rsidRPr="00ED73A7" w:rsidRDefault="00ED73A7" w:rsidP="00ED7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CH" w:eastAsia="de-CH"/>
              </w:rPr>
            </w:pPr>
            <w:r w:rsidRPr="00ED73A7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CH" w:eastAsia="de-CH"/>
              </w:rPr>
              <w:t>2.98</w:t>
            </w:r>
          </w:p>
        </w:tc>
      </w:tr>
    </w:tbl>
    <w:p w14:paraId="4B28F428" w14:textId="77777777" w:rsidR="00ED73A7" w:rsidRDefault="00ED73A7" w:rsidP="00CC579D"/>
    <w:p w14:paraId="4D786DD6" w14:textId="74FE4C15" w:rsidR="00B06D78" w:rsidRPr="009C3717" w:rsidRDefault="00B06D78" w:rsidP="00CC579D">
      <w:pPr>
        <w:jc w:val="both"/>
        <w:rPr>
          <w:rFonts w:cs="Arial"/>
        </w:rPr>
      </w:pPr>
      <w:r w:rsidRPr="00CC579D">
        <w:t xml:space="preserve">La Directive technique DTA 4 </w:t>
      </w:r>
      <w:r w:rsidR="00BB516E" w:rsidRPr="00CC579D">
        <w:t>sur le</w:t>
      </w:r>
      <w:r w:rsidRPr="00CC579D">
        <w:t xml:space="preserve"> taux d’intérêt technique d’une institution de prévoyance a été déclarée de force obligatoire par la Commission de haute surveillance de la prévoyance professionnelle (CHS PP)</w:t>
      </w:r>
      <w:r w:rsidR="00BB27E0" w:rsidRPr="00CC579D">
        <w:t xml:space="preserve"> le 20 juin 2019</w:t>
      </w:r>
      <w:r w:rsidRPr="00CC579D">
        <w:t>. Elle doit obligatoirement être respectée par tous les experts</w:t>
      </w:r>
      <w:r w:rsidRPr="009C3717">
        <w:t xml:space="preserve"> en caisses de pensions agréés par la CHS </w:t>
      </w:r>
      <w:r w:rsidR="00BB516E">
        <w:t xml:space="preserve">PP </w:t>
      </w:r>
      <w:r w:rsidRPr="009C3717">
        <w:t>en Suisse.</w:t>
      </w:r>
    </w:p>
    <w:p w14:paraId="7AE0BBEC" w14:textId="50B52E30" w:rsidR="003F62EA" w:rsidRPr="009C3717" w:rsidRDefault="00961B24" w:rsidP="00CC579D">
      <w:pPr>
        <w:spacing w:after="120" w:line="240" w:lineRule="auto"/>
        <w:jc w:val="both"/>
        <w:rPr>
          <w:rFonts w:cs="Arial"/>
        </w:rPr>
      </w:pPr>
      <w:r w:rsidRPr="009C3717">
        <w:t xml:space="preserve">Des détails sur le calcul et le montant de la </w:t>
      </w:r>
      <w:r w:rsidR="00BB516E">
        <w:t xml:space="preserve">borne </w:t>
      </w:r>
      <w:r w:rsidRPr="009C3717">
        <w:t xml:space="preserve">supérieure figurent dans la directive technique DTA 4 de la Chambre suisse des actuaires-conseils (CSEP). Cf. à ce </w:t>
      </w:r>
      <w:proofErr w:type="gramStart"/>
      <w:r w:rsidRPr="009C3717">
        <w:t>sujet:</w:t>
      </w:r>
      <w:proofErr w:type="gramEnd"/>
    </w:p>
    <w:p w14:paraId="701FD73D" w14:textId="5761B61C" w:rsidR="00CC579D" w:rsidRDefault="00F77A22" w:rsidP="00CC579D">
      <w:pPr>
        <w:jc w:val="both"/>
        <w:rPr>
          <w:rStyle w:val="Hyperlink"/>
        </w:rPr>
      </w:pPr>
      <w:hyperlink r:id="rId5" w:history="1">
        <w:r w:rsidR="003F62EA" w:rsidRPr="009C3717">
          <w:rPr>
            <w:rStyle w:val="Hyperlink"/>
          </w:rPr>
          <w:t>http://www.skpe.ch/fr/sujets/directives-techniques.html</w:t>
        </w:r>
      </w:hyperlink>
    </w:p>
    <w:p w14:paraId="5A94383F" w14:textId="77777777" w:rsidR="00CC579D" w:rsidRDefault="00CC579D" w:rsidP="00CC579D">
      <w:pPr>
        <w:jc w:val="both"/>
        <w:rPr>
          <w:rFonts w:cs="Arial"/>
        </w:rPr>
      </w:pPr>
    </w:p>
    <w:p w14:paraId="08744B61" w14:textId="406D04F5" w:rsidR="0067032B" w:rsidRPr="009C3717" w:rsidRDefault="00404270" w:rsidP="00CC579D">
      <w:pPr>
        <w:jc w:val="both"/>
        <w:rPr>
          <w:rFonts w:cs="Arial"/>
        </w:rPr>
      </w:pPr>
      <w:r w:rsidRPr="009C3717">
        <w:t xml:space="preserve">Zurich, le </w:t>
      </w:r>
      <w:r w:rsidR="00F77A22">
        <w:t>30</w:t>
      </w:r>
      <w:r w:rsidRPr="009C3717">
        <w:t>.</w:t>
      </w:r>
      <w:r w:rsidR="00F77A22">
        <w:t>9</w:t>
      </w:r>
      <w:r w:rsidRPr="009C3717">
        <w:t>.20</w:t>
      </w:r>
      <w:r w:rsidR="001152E9">
        <w:t>2</w:t>
      </w:r>
      <w:r w:rsidR="00597216">
        <w:t>2</w:t>
      </w:r>
    </w:p>
    <w:sectPr w:rsidR="0067032B" w:rsidRPr="009C3717" w:rsidSect="00CC579D">
      <w:pgSz w:w="11906" w:h="16838"/>
      <w:pgMar w:top="1134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15E12"/>
    <w:multiLevelType w:val="hybridMultilevel"/>
    <w:tmpl w:val="5C42E2B4"/>
    <w:lvl w:ilvl="0" w:tplc="04090015">
      <w:start w:val="1"/>
      <w:numFmt w:val="upperLetter"/>
      <w:lvlText w:val="%1."/>
      <w:lvlJc w:val="left"/>
      <w:pPr>
        <w:tabs>
          <w:tab w:val="num" w:pos="1117"/>
        </w:tabs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32B"/>
    <w:rsid w:val="000C43A5"/>
    <w:rsid w:val="00114065"/>
    <w:rsid w:val="001152E9"/>
    <w:rsid w:val="00135AC3"/>
    <w:rsid w:val="0014130E"/>
    <w:rsid w:val="00196A5F"/>
    <w:rsid w:val="001A19D2"/>
    <w:rsid w:val="002772FD"/>
    <w:rsid w:val="002A6B5F"/>
    <w:rsid w:val="00310212"/>
    <w:rsid w:val="003B55D9"/>
    <w:rsid w:val="003F62EA"/>
    <w:rsid w:val="00402580"/>
    <w:rsid w:val="00404270"/>
    <w:rsid w:val="00407B80"/>
    <w:rsid w:val="00433A17"/>
    <w:rsid w:val="004578CD"/>
    <w:rsid w:val="00466AEE"/>
    <w:rsid w:val="004A43B6"/>
    <w:rsid w:val="004B1DCF"/>
    <w:rsid w:val="004D3205"/>
    <w:rsid w:val="005077FC"/>
    <w:rsid w:val="00597216"/>
    <w:rsid w:val="005C364B"/>
    <w:rsid w:val="00600347"/>
    <w:rsid w:val="00634053"/>
    <w:rsid w:val="0067032B"/>
    <w:rsid w:val="00751387"/>
    <w:rsid w:val="007715DD"/>
    <w:rsid w:val="00793EF9"/>
    <w:rsid w:val="0082631B"/>
    <w:rsid w:val="00867CF6"/>
    <w:rsid w:val="008A0489"/>
    <w:rsid w:val="008A6882"/>
    <w:rsid w:val="008F4E96"/>
    <w:rsid w:val="00934A7D"/>
    <w:rsid w:val="00960497"/>
    <w:rsid w:val="00961B24"/>
    <w:rsid w:val="0097089E"/>
    <w:rsid w:val="0097198D"/>
    <w:rsid w:val="009944E0"/>
    <w:rsid w:val="009B1C0F"/>
    <w:rsid w:val="009C3717"/>
    <w:rsid w:val="00A13949"/>
    <w:rsid w:val="00B06D78"/>
    <w:rsid w:val="00B30E61"/>
    <w:rsid w:val="00B3607D"/>
    <w:rsid w:val="00B87067"/>
    <w:rsid w:val="00BB27E0"/>
    <w:rsid w:val="00BB516E"/>
    <w:rsid w:val="00BB5BFE"/>
    <w:rsid w:val="00BB7D72"/>
    <w:rsid w:val="00CB3A31"/>
    <w:rsid w:val="00CC579D"/>
    <w:rsid w:val="00CE38F7"/>
    <w:rsid w:val="00D0252A"/>
    <w:rsid w:val="00D10F6A"/>
    <w:rsid w:val="00D76604"/>
    <w:rsid w:val="00E266F2"/>
    <w:rsid w:val="00E407DC"/>
    <w:rsid w:val="00E84365"/>
    <w:rsid w:val="00EC13DE"/>
    <w:rsid w:val="00ED273F"/>
    <w:rsid w:val="00ED73A7"/>
    <w:rsid w:val="00F521A1"/>
    <w:rsid w:val="00F77A22"/>
    <w:rsid w:val="00FE48B2"/>
    <w:rsid w:val="00FF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7D6352"/>
  <w15:chartTrackingRefBased/>
  <w15:docId w15:val="{661D7734-4336-41EC-BB6D-E5455DD77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B1C0F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FE48B2"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7089E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2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27E0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B27E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B27E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B27E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B27E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B27E0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135A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3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kpe.ch/de/themen/fachrichtlinie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2463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 Deprez</dc:creator>
  <cp:keywords/>
  <dc:description/>
  <cp:lastModifiedBy>User1 Deprez</cp:lastModifiedBy>
  <cp:revision>4</cp:revision>
  <cp:lastPrinted>2018-09-29T12:45:00Z</cp:lastPrinted>
  <dcterms:created xsi:type="dcterms:W3CDTF">2022-09-28T09:52:00Z</dcterms:created>
  <dcterms:modified xsi:type="dcterms:W3CDTF">2022-09-30T14:54:00Z</dcterms:modified>
</cp:coreProperties>
</file>